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706E3C" w14:textId="77777777" w:rsidR="00395CE7" w:rsidRPr="00A21F49" w:rsidRDefault="00395CE7" w:rsidP="00395CE7">
      <w:pPr>
        <w:pStyle w:val="Heading1"/>
        <w:spacing w:before="0" w:line="720" w:lineRule="atLeast"/>
        <w:rPr>
          <w:rFonts w:ascii="&amp;quot" w:hAnsi="&amp;quot"/>
          <w:b/>
          <w:color w:val="222222"/>
        </w:rPr>
      </w:pPr>
      <w:r w:rsidRPr="00A21F49">
        <w:rPr>
          <w:rFonts w:ascii="&amp;quot" w:hAnsi="&amp;quot"/>
          <w:b/>
          <w:color w:val="222222"/>
        </w:rPr>
        <w:t xml:space="preserve">Environmental protection: Steamrolling vs. streamlining </w:t>
      </w:r>
    </w:p>
    <w:p w14:paraId="0141E757" w14:textId="77777777" w:rsidR="00395CE7" w:rsidRDefault="00395CE7" w:rsidP="00395CE7">
      <w:pPr>
        <w:spacing w:after="0" w:line="244" w:lineRule="atLeast"/>
        <w:textAlignment w:val="top"/>
        <w:rPr>
          <w:rFonts w:ascii="&amp;quot" w:hAnsi="&amp;quot"/>
          <w:color w:val="222222"/>
          <w:sz w:val="20"/>
          <w:szCs w:val="20"/>
        </w:rPr>
      </w:pPr>
      <w:r>
        <w:rPr>
          <w:rFonts w:ascii="&amp;quot" w:hAnsi="&amp;quot"/>
          <w:color w:val="222222"/>
          <w:sz w:val="20"/>
          <w:szCs w:val="20"/>
        </w:rPr>
        <w:t xml:space="preserve">By ARTHUR GIACALONE </w:t>
      </w:r>
      <w:r>
        <w:rPr>
          <w:rStyle w:val="hidden--xs"/>
          <w:rFonts w:ascii="&amp;quot" w:hAnsi="&amp;quot"/>
          <w:color w:val="222222"/>
          <w:sz w:val="20"/>
          <w:szCs w:val="20"/>
        </w:rPr>
        <w:t> – </w:t>
      </w:r>
      <w:r>
        <w:rPr>
          <w:rFonts w:ascii="&amp;quot" w:hAnsi="&amp;quot"/>
          <w:color w:val="222222"/>
          <w:sz w:val="20"/>
          <w:szCs w:val="20"/>
        </w:rPr>
        <w:t xml:space="preserve">Guest Columnist </w:t>
      </w:r>
    </w:p>
    <w:p w14:paraId="5854ABAD" w14:textId="77777777" w:rsidR="00395CE7" w:rsidRDefault="00395CE7" w:rsidP="00395CE7">
      <w:pPr>
        <w:spacing w:line="244" w:lineRule="atLeast"/>
        <w:textAlignment w:val="top"/>
        <w:rPr>
          <w:rFonts w:ascii="&amp;quot" w:hAnsi="&amp;quot"/>
          <w:color w:val="222222"/>
          <w:sz w:val="20"/>
          <w:szCs w:val="20"/>
        </w:rPr>
      </w:pPr>
      <w:r>
        <w:rPr>
          <w:rFonts w:ascii="&amp;quot" w:hAnsi="&amp;quot"/>
          <w:color w:val="222222"/>
          <w:sz w:val="20"/>
          <w:szCs w:val="20"/>
        </w:rPr>
        <w:t xml:space="preserve">Apr 26, 2017, 9:00am </w:t>
      </w:r>
    </w:p>
    <w:p w14:paraId="434AF918" w14:textId="77777777" w:rsidR="00395CE7" w:rsidRDefault="00395CE7" w:rsidP="00395CE7">
      <w:pPr>
        <w:pStyle w:val="contentsegment"/>
        <w:spacing w:before="0" w:beforeAutospacing="0" w:line="447" w:lineRule="atLeast"/>
        <w:rPr>
          <w:rFonts w:ascii="&amp;quot" w:hAnsi="&amp;quot"/>
          <w:color w:val="222222"/>
          <w:sz w:val="26"/>
          <w:szCs w:val="26"/>
        </w:rPr>
      </w:pPr>
      <w:r>
        <w:rPr>
          <w:rFonts w:ascii="&amp;quot" w:hAnsi="&amp;quot"/>
          <w:color w:val="222222"/>
          <w:sz w:val="26"/>
          <w:szCs w:val="26"/>
        </w:rPr>
        <w:t>In a perfect world, the following assertions would not be controversial: We are obliged to preserve and protect our environment. Laws intended to protect and enhance the environment should be fully complied with and aggressively enforced. Public servants, businesses and individuals alike should aspire to meet the standard set for state and local agencies more than 40 years ago in the State Environmental Quality Review Act (SEQRA):</w:t>
      </w:r>
    </w:p>
    <w:p w14:paraId="2E42EC94" w14:textId="77777777" w:rsidR="00395CE7" w:rsidRDefault="00395CE7" w:rsidP="00395CE7">
      <w:pPr>
        <w:pStyle w:val="contentsegment"/>
        <w:spacing w:line="447" w:lineRule="atLeast"/>
        <w:rPr>
          <w:rFonts w:ascii="&amp;quot" w:hAnsi="&amp;quot"/>
          <w:color w:val="222222"/>
          <w:sz w:val="26"/>
          <w:szCs w:val="26"/>
        </w:rPr>
      </w:pPr>
      <w:r>
        <w:rPr>
          <w:rFonts w:ascii="&amp;quot" w:hAnsi="&amp;quot"/>
          <w:color w:val="222222"/>
          <w:sz w:val="26"/>
          <w:szCs w:val="26"/>
        </w:rPr>
        <w:t>All agencies shall conduct their affairs with an awareness that they are stewards of the air, water, land and living resources, and that they have an obligation to protect the environment for the use and enjoyment of this and all future generations.</w:t>
      </w:r>
    </w:p>
    <w:p w14:paraId="587AC1F4" w14:textId="77777777" w:rsidR="00395CE7" w:rsidRDefault="00395CE7" w:rsidP="00395CE7">
      <w:pPr>
        <w:pStyle w:val="contentsegment"/>
        <w:spacing w:line="447" w:lineRule="atLeast"/>
        <w:rPr>
          <w:rFonts w:ascii="&amp;quot" w:hAnsi="&amp;quot"/>
          <w:color w:val="222222"/>
          <w:sz w:val="26"/>
          <w:szCs w:val="26"/>
        </w:rPr>
      </w:pPr>
      <w:r>
        <w:rPr>
          <w:rFonts w:ascii="&amp;quot" w:hAnsi="&amp;quot"/>
          <w:color w:val="222222"/>
          <w:sz w:val="26"/>
          <w:szCs w:val="26"/>
        </w:rPr>
        <w:t>Obviously, our world is far from perfect. Rather than strengthening our efforts to preserve our natural resources, our environmental laws are under assault in two very different ways.</w:t>
      </w:r>
    </w:p>
    <w:p w14:paraId="786FA5D3" w14:textId="77777777" w:rsidR="00395CE7" w:rsidRDefault="00395CE7" w:rsidP="00395CE7">
      <w:pPr>
        <w:pStyle w:val="contentsegment"/>
        <w:spacing w:line="447" w:lineRule="atLeast"/>
        <w:rPr>
          <w:rFonts w:ascii="&amp;quot" w:hAnsi="&amp;quot"/>
          <w:color w:val="222222"/>
          <w:sz w:val="26"/>
          <w:szCs w:val="26"/>
        </w:rPr>
      </w:pPr>
      <w:r>
        <w:rPr>
          <w:rFonts w:ascii="&amp;quot" w:hAnsi="&amp;quot"/>
          <w:color w:val="222222"/>
          <w:sz w:val="26"/>
          <w:szCs w:val="26"/>
        </w:rPr>
        <w:t xml:space="preserve">On the national front, President </w:t>
      </w:r>
      <w:hyperlink r:id="rId4" w:history="1">
        <w:r>
          <w:rPr>
            <w:rStyle w:val="Hyperlink"/>
            <w:rFonts w:ascii="&amp;quot" w:hAnsi="&amp;quot"/>
            <w:color w:val="16703C"/>
            <w:sz w:val="26"/>
            <w:szCs w:val="26"/>
          </w:rPr>
          <w:t>Donald Trump</w:t>
        </w:r>
      </w:hyperlink>
      <w:r>
        <w:rPr>
          <w:rFonts w:ascii="&amp;quot" w:hAnsi="&amp;quot"/>
          <w:color w:val="222222"/>
          <w:sz w:val="26"/>
          <w:szCs w:val="26"/>
        </w:rPr>
        <w:t xml:space="preserve"> and his nascent administration are openly and aggressively expressing their intent to dismantle Obama-era environmental regulations and initiatives. I think of this as steamrolling environmental protections.</w:t>
      </w:r>
    </w:p>
    <w:p w14:paraId="6E3976FA" w14:textId="77777777" w:rsidR="00395CE7" w:rsidRDefault="00395CE7" w:rsidP="00395CE7">
      <w:pPr>
        <w:pStyle w:val="contentsegment"/>
        <w:spacing w:line="447" w:lineRule="atLeast"/>
        <w:rPr>
          <w:rFonts w:ascii="&amp;quot" w:hAnsi="&amp;quot"/>
          <w:color w:val="222222"/>
          <w:sz w:val="26"/>
          <w:szCs w:val="26"/>
        </w:rPr>
      </w:pPr>
      <w:r>
        <w:rPr>
          <w:rFonts w:ascii="&amp;quot" w:hAnsi="&amp;quot"/>
          <w:color w:val="222222"/>
          <w:sz w:val="26"/>
          <w:szCs w:val="26"/>
        </w:rPr>
        <w:t xml:space="preserve">In New York state, Gov. </w:t>
      </w:r>
      <w:hyperlink r:id="rId5" w:history="1">
        <w:r>
          <w:rPr>
            <w:rStyle w:val="Hyperlink"/>
            <w:rFonts w:ascii="&amp;quot" w:hAnsi="&amp;quot"/>
            <w:color w:val="16703C"/>
            <w:sz w:val="26"/>
            <w:szCs w:val="26"/>
          </w:rPr>
          <w:t>Andrew Cuomo</w:t>
        </w:r>
      </w:hyperlink>
      <w:r>
        <w:rPr>
          <w:rFonts w:ascii="&amp;quot" w:hAnsi="&amp;quot"/>
          <w:color w:val="222222"/>
          <w:sz w:val="26"/>
          <w:szCs w:val="26"/>
        </w:rPr>
        <w:t>’s Department of Environmental Conservation (DEC) is taking a contrasting approach. Under the pretext of “streamlining” and updating statewide regulations that implement the environmental review process under SEQRA, the DEC is, in fact, weakening environmental protections and lessening the public’s role in zoning and land-use decision-making.</w:t>
      </w:r>
    </w:p>
    <w:p w14:paraId="2D96413E" w14:textId="77777777" w:rsidR="00395CE7" w:rsidRDefault="00395CE7" w:rsidP="00395CE7">
      <w:pPr>
        <w:pStyle w:val="contentsegment"/>
        <w:spacing w:line="447" w:lineRule="atLeast"/>
        <w:rPr>
          <w:rFonts w:ascii="&amp;quot" w:hAnsi="&amp;quot"/>
          <w:color w:val="222222"/>
          <w:sz w:val="26"/>
          <w:szCs w:val="26"/>
        </w:rPr>
      </w:pPr>
      <w:r>
        <w:rPr>
          <w:rFonts w:ascii="&amp;quot" w:hAnsi="&amp;quot"/>
          <w:color w:val="222222"/>
          <w:sz w:val="26"/>
          <w:szCs w:val="26"/>
        </w:rPr>
        <w:lastRenderedPageBreak/>
        <w:t>Both strategies further short-term economic development over long-term preservation of our natural resources. While our environment will suffer whether existing protections are “steamrolled” or “streamlined,” at least the steamrolling agenda on the national level does not hide its intent.</w:t>
      </w:r>
    </w:p>
    <w:p w14:paraId="7851BB11" w14:textId="77777777" w:rsidR="00395CE7" w:rsidRDefault="00395CE7" w:rsidP="00395CE7">
      <w:pPr>
        <w:pStyle w:val="contentsegment"/>
        <w:spacing w:line="447" w:lineRule="atLeast"/>
        <w:rPr>
          <w:rFonts w:ascii="&amp;quot" w:hAnsi="&amp;quot"/>
          <w:color w:val="222222"/>
          <w:sz w:val="26"/>
          <w:szCs w:val="26"/>
        </w:rPr>
      </w:pPr>
      <w:r>
        <w:rPr>
          <w:rFonts w:ascii="&amp;quot" w:hAnsi="&amp;quot"/>
          <w:color w:val="222222"/>
          <w:sz w:val="26"/>
          <w:szCs w:val="26"/>
        </w:rPr>
        <w:t>The public, business leaders and other stakeholders can decide rather easily whether to advocate for or against the Trump administration’s plans or desire to:</w:t>
      </w:r>
    </w:p>
    <w:p w14:paraId="72826951" w14:textId="77777777" w:rsidR="00395CE7" w:rsidRDefault="00395CE7" w:rsidP="00395CE7">
      <w:pPr>
        <w:pStyle w:val="contentsegment"/>
        <w:spacing w:line="447" w:lineRule="atLeast"/>
        <w:rPr>
          <w:rFonts w:ascii="&amp;quot" w:hAnsi="&amp;quot"/>
          <w:color w:val="222222"/>
          <w:sz w:val="26"/>
          <w:szCs w:val="26"/>
        </w:rPr>
      </w:pPr>
      <w:r>
        <w:rPr>
          <w:rFonts w:ascii="&amp;quot" w:hAnsi="&amp;quot"/>
          <w:color w:val="222222"/>
          <w:sz w:val="26"/>
          <w:szCs w:val="26"/>
        </w:rPr>
        <w:t>• Cut the Environmental Protection Agency (EPA) budget by nearly one-third.</w:t>
      </w:r>
    </w:p>
    <w:p w14:paraId="100F493B" w14:textId="77777777" w:rsidR="00395CE7" w:rsidRDefault="00395CE7" w:rsidP="00395CE7">
      <w:pPr>
        <w:pStyle w:val="contentsegment"/>
        <w:spacing w:line="447" w:lineRule="atLeast"/>
        <w:rPr>
          <w:rFonts w:ascii="&amp;quot" w:hAnsi="&amp;quot"/>
          <w:color w:val="222222"/>
          <w:sz w:val="26"/>
          <w:szCs w:val="26"/>
        </w:rPr>
      </w:pPr>
      <w:r>
        <w:rPr>
          <w:rFonts w:ascii="&amp;quot" w:hAnsi="&amp;quot"/>
          <w:color w:val="222222"/>
          <w:sz w:val="26"/>
          <w:szCs w:val="26"/>
        </w:rPr>
        <w:t>• Scrap Obama-era initiatives meant to limit emissions from coal-burning plants.</w:t>
      </w:r>
    </w:p>
    <w:p w14:paraId="35791934" w14:textId="77777777" w:rsidR="00395CE7" w:rsidRDefault="00395CE7" w:rsidP="00395CE7">
      <w:pPr>
        <w:pStyle w:val="contentsegment"/>
        <w:spacing w:line="447" w:lineRule="atLeast"/>
        <w:rPr>
          <w:rFonts w:ascii="&amp;quot" w:hAnsi="&amp;quot"/>
          <w:color w:val="222222"/>
          <w:sz w:val="26"/>
          <w:szCs w:val="26"/>
        </w:rPr>
      </w:pPr>
      <w:r>
        <w:rPr>
          <w:rFonts w:ascii="&amp;quot" w:hAnsi="&amp;quot"/>
          <w:color w:val="222222"/>
          <w:sz w:val="26"/>
          <w:szCs w:val="26"/>
        </w:rPr>
        <w:t>• Revisit stringent motor vehicle fuel-efficiency standards.</w:t>
      </w:r>
    </w:p>
    <w:p w14:paraId="01C89F49" w14:textId="77777777" w:rsidR="00395CE7" w:rsidRDefault="00395CE7" w:rsidP="00395CE7">
      <w:pPr>
        <w:pStyle w:val="contentsegment"/>
        <w:spacing w:line="447" w:lineRule="atLeast"/>
        <w:rPr>
          <w:rFonts w:ascii="&amp;quot" w:hAnsi="&amp;quot"/>
          <w:color w:val="222222"/>
          <w:sz w:val="26"/>
          <w:szCs w:val="26"/>
        </w:rPr>
      </w:pPr>
      <w:r>
        <w:rPr>
          <w:rFonts w:ascii="&amp;quot" w:hAnsi="&amp;quot"/>
          <w:color w:val="222222"/>
          <w:sz w:val="26"/>
          <w:szCs w:val="26"/>
        </w:rPr>
        <w:t>• Drastically cut funding for the Great Lakes Restoration program.</w:t>
      </w:r>
    </w:p>
    <w:p w14:paraId="08935A43" w14:textId="77777777" w:rsidR="00395CE7" w:rsidRDefault="00395CE7" w:rsidP="00395CE7">
      <w:pPr>
        <w:pStyle w:val="contentsegment"/>
        <w:spacing w:line="447" w:lineRule="atLeast"/>
        <w:rPr>
          <w:rFonts w:ascii="&amp;quot" w:hAnsi="&amp;quot"/>
          <w:color w:val="222222"/>
          <w:sz w:val="26"/>
          <w:szCs w:val="26"/>
        </w:rPr>
      </w:pPr>
      <w:r>
        <w:rPr>
          <w:rFonts w:ascii="&amp;quot" w:hAnsi="&amp;quot"/>
          <w:color w:val="222222"/>
          <w:sz w:val="26"/>
          <w:szCs w:val="26"/>
        </w:rPr>
        <w:t>• Or direct the EPA to review the Clean Water Act regulations issued by the Obama administration to make certain they promote economic growth and reduce uncertainty.</w:t>
      </w:r>
    </w:p>
    <w:p w14:paraId="17FA6C4D" w14:textId="77777777" w:rsidR="00395CE7" w:rsidRDefault="00395CE7" w:rsidP="00395CE7">
      <w:pPr>
        <w:pStyle w:val="contentsegment"/>
        <w:spacing w:line="447" w:lineRule="atLeast"/>
        <w:rPr>
          <w:rFonts w:ascii="&amp;quot" w:hAnsi="&amp;quot"/>
          <w:color w:val="222222"/>
          <w:sz w:val="26"/>
          <w:szCs w:val="26"/>
        </w:rPr>
      </w:pPr>
      <w:r>
        <w:rPr>
          <w:rFonts w:ascii="&amp;quot" w:hAnsi="&amp;quot"/>
          <w:color w:val="222222"/>
          <w:sz w:val="26"/>
          <w:szCs w:val="26"/>
        </w:rPr>
        <w:t>While Trump takes no prisoners, the DEC’s March 24 bulletin titled “DEC Seeks Comments on Proposed Updates to Streamline Environmental Quality Reviews” would have the public believe that the agency’s proposed amendments will “streamline the SEQR process without sacrificing meaningful environmental review.”</w:t>
      </w:r>
    </w:p>
    <w:p w14:paraId="7D1973AB" w14:textId="77777777" w:rsidR="00395CE7" w:rsidRDefault="00395CE7" w:rsidP="00395CE7">
      <w:pPr>
        <w:pStyle w:val="contentsegment"/>
        <w:spacing w:line="447" w:lineRule="atLeast"/>
        <w:rPr>
          <w:rFonts w:ascii="&amp;quot" w:hAnsi="&amp;quot"/>
          <w:color w:val="222222"/>
          <w:sz w:val="26"/>
          <w:szCs w:val="26"/>
        </w:rPr>
      </w:pPr>
      <w:r>
        <w:rPr>
          <w:rFonts w:ascii="&amp;quot" w:hAnsi="&amp;quot"/>
          <w:color w:val="222222"/>
          <w:sz w:val="26"/>
          <w:szCs w:val="26"/>
        </w:rPr>
        <w:t>I strongly disagree.</w:t>
      </w:r>
    </w:p>
    <w:p w14:paraId="5477506F" w14:textId="77777777" w:rsidR="00395CE7" w:rsidRDefault="00395CE7" w:rsidP="00395CE7">
      <w:pPr>
        <w:pStyle w:val="contentsegment"/>
        <w:spacing w:line="447" w:lineRule="atLeast"/>
        <w:rPr>
          <w:rFonts w:ascii="&amp;quot" w:hAnsi="&amp;quot"/>
          <w:color w:val="222222"/>
          <w:sz w:val="26"/>
          <w:szCs w:val="26"/>
        </w:rPr>
      </w:pPr>
      <w:r>
        <w:rPr>
          <w:rFonts w:ascii="&amp;quot" w:hAnsi="&amp;quot"/>
          <w:color w:val="222222"/>
          <w:sz w:val="26"/>
          <w:szCs w:val="26"/>
        </w:rPr>
        <w:t xml:space="preserve">The DEC’s proposed regulatory changes would substantially increase so-called Type II actions, the types of actions and projects that do not have to undergo any SEQRA review. Although New York’s legislators have not changed the substance of the statute enacted more than four decades ago, or altered its goals and purposes, the </w:t>
      </w:r>
      <w:r>
        <w:rPr>
          <w:rFonts w:ascii="&amp;quot" w:hAnsi="&amp;quot"/>
          <w:color w:val="222222"/>
          <w:sz w:val="26"/>
          <w:szCs w:val="26"/>
        </w:rPr>
        <w:lastRenderedPageBreak/>
        <w:t>agency responsible for conserving New York’s environment has inflated the categories of Type II actions by nearly 50 percent, from the current 37 to 54.</w:t>
      </w:r>
    </w:p>
    <w:p w14:paraId="00558460" w14:textId="77777777" w:rsidR="00395CE7" w:rsidRDefault="00395CE7" w:rsidP="00395CE7">
      <w:pPr>
        <w:pStyle w:val="contentsegment"/>
        <w:spacing w:before="0" w:beforeAutospacing="0" w:line="447" w:lineRule="atLeast"/>
        <w:rPr>
          <w:rFonts w:ascii="&amp;quot" w:hAnsi="&amp;quot"/>
          <w:color w:val="222222"/>
          <w:sz w:val="26"/>
          <w:szCs w:val="26"/>
        </w:rPr>
      </w:pPr>
      <w:r>
        <w:rPr>
          <w:rFonts w:ascii="&amp;quot" w:hAnsi="&amp;quot"/>
          <w:color w:val="222222"/>
          <w:sz w:val="26"/>
          <w:szCs w:val="26"/>
        </w:rPr>
        <w:t>By expanding the list of projects completely insulated from SEQRA review, the DEC’s proposed regulations would likely have the following impacts:</w:t>
      </w:r>
    </w:p>
    <w:p w14:paraId="6BC40661" w14:textId="77777777" w:rsidR="00395CE7" w:rsidRDefault="00395CE7" w:rsidP="00395CE7">
      <w:pPr>
        <w:pStyle w:val="contentsegment"/>
        <w:spacing w:line="447" w:lineRule="atLeast"/>
        <w:rPr>
          <w:rFonts w:ascii="&amp;quot" w:hAnsi="&amp;quot"/>
          <w:color w:val="222222"/>
          <w:sz w:val="26"/>
          <w:szCs w:val="26"/>
        </w:rPr>
      </w:pPr>
      <w:r>
        <w:rPr>
          <w:rFonts w:ascii="&amp;quot" w:hAnsi="&amp;quot"/>
          <w:color w:val="222222"/>
          <w:sz w:val="26"/>
          <w:szCs w:val="26"/>
        </w:rPr>
        <w:t>• Decrease the information available to the public, as well as to the government decision-makers, to intelligently assess a proposed project’s potential impacts on the environment;</w:t>
      </w:r>
    </w:p>
    <w:p w14:paraId="5A359739" w14:textId="77777777" w:rsidR="00395CE7" w:rsidRDefault="00395CE7" w:rsidP="00395CE7">
      <w:pPr>
        <w:pStyle w:val="contentsegment"/>
        <w:spacing w:line="447" w:lineRule="atLeast"/>
        <w:rPr>
          <w:rFonts w:ascii="&amp;quot" w:hAnsi="&amp;quot"/>
          <w:color w:val="222222"/>
          <w:sz w:val="26"/>
          <w:szCs w:val="26"/>
        </w:rPr>
      </w:pPr>
      <w:r>
        <w:rPr>
          <w:rFonts w:ascii="&amp;quot" w:hAnsi="&amp;quot"/>
          <w:color w:val="222222"/>
          <w:sz w:val="26"/>
          <w:szCs w:val="26"/>
        </w:rPr>
        <w:t>• Reduce the ability of a municipality or a concerned public to objectively consider a proposed project’s specific natural and manmade surroundings, or the existing neighborhood or community character, when determining whether a proposed project may have a negative environmental effect;</w:t>
      </w:r>
    </w:p>
    <w:p w14:paraId="54F741CB" w14:textId="77777777" w:rsidR="00395CE7" w:rsidRDefault="00395CE7" w:rsidP="00395CE7">
      <w:pPr>
        <w:pStyle w:val="contentsegment"/>
        <w:spacing w:line="447" w:lineRule="atLeast"/>
        <w:rPr>
          <w:rFonts w:ascii="&amp;quot" w:hAnsi="&amp;quot"/>
          <w:color w:val="222222"/>
          <w:sz w:val="26"/>
          <w:szCs w:val="26"/>
        </w:rPr>
      </w:pPr>
      <w:r>
        <w:rPr>
          <w:rFonts w:ascii="&amp;quot" w:hAnsi="&amp;quot"/>
          <w:color w:val="222222"/>
          <w:sz w:val="26"/>
          <w:szCs w:val="26"/>
        </w:rPr>
        <w:t>• Eliminate the obligation of a project sponsor or government agency to systematically consider alternatives and mitigation measures.</w:t>
      </w:r>
    </w:p>
    <w:p w14:paraId="2CA3EBA7" w14:textId="77777777" w:rsidR="00395CE7" w:rsidRDefault="00395CE7" w:rsidP="00395CE7">
      <w:pPr>
        <w:pStyle w:val="contentsegment"/>
        <w:spacing w:line="447" w:lineRule="atLeast"/>
        <w:rPr>
          <w:rFonts w:ascii="&amp;quot" w:hAnsi="&amp;quot"/>
          <w:color w:val="222222"/>
          <w:sz w:val="26"/>
          <w:szCs w:val="26"/>
        </w:rPr>
      </w:pPr>
      <w:r>
        <w:rPr>
          <w:rFonts w:ascii="&amp;quot" w:hAnsi="&amp;quot"/>
          <w:color w:val="222222"/>
          <w:sz w:val="26"/>
          <w:szCs w:val="26"/>
        </w:rPr>
        <w:t>Revealingly, the DEC’s proposed regulatory changes fail to identify even one new category of Type I actions, activities presumed to have a significant adverse environmental impact and requiring the preparation of an environmental impact statement. Although the EIS is considered “the heart of the SEQRA process,” the DEC’s amendments do nothing to motivate or compel state and local agencies to comply with the letter and spirit of SEQRA by diligently utilizing the EIS process.</w:t>
      </w:r>
    </w:p>
    <w:p w14:paraId="27943684" w14:textId="77777777" w:rsidR="00395CE7" w:rsidRDefault="00395CE7" w:rsidP="00395CE7">
      <w:pPr>
        <w:pStyle w:val="contentsegment"/>
        <w:spacing w:line="447" w:lineRule="atLeast"/>
        <w:rPr>
          <w:rFonts w:ascii="&amp;quot" w:hAnsi="&amp;quot"/>
          <w:color w:val="222222"/>
          <w:sz w:val="26"/>
          <w:szCs w:val="26"/>
        </w:rPr>
      </w:pPr>
      <w:r>
        <w:rPr>
          <w:rFonts w:ascii="&amp;quot" w:hAnsi="&amp;quot"/>
          <w:color w:val="222222"/>
          <w:sz w:val="26"/>
          <w:szCs w:val="26"/>
        </w:rPr>
        <w:t>This one-sided effort to “update” the environmental review process suggests a capitulation by the DEC – and the Cuomo administration – to pressures from the business community and government officials who do not wish to place any kind of obstacle in the way of a proposed development project.</w:t>
      </w:r>
    </w:p>
    <w:p w14:paraId="7BFC3F6A" w14:textId="77777777" w:rsidR="00395CE7" w:rsidRDefault="00395CE7" w:rsidP="00395CE7">
      <w:pPr>
        <w:pStyle w:val="contentsegment"/>
        <w:spacing w:line="447" w:lineRule="atLeast"/>
        <w:rPr>
          <w:rFonts w:ascii="&amp;quot" w:hAnsi="&amp;quot"/>
          <w:color w:val="222222"/>
          <w:sz w:val="26"/>
          <w:szCs w:val="26"/>
        </w:rPr>
      </w:pPr>
      <w:r>
        <w:rPr>
          <w:rFonts w:ascii="&amp;quot" w:hAnsi="&amp;quot"/>
          <w:color w:val="222222"/>
          <w:sz w:val="26"/>
          <w:szCs w:val="26"/>
        </w:rPr>
        <w:lastRenderedPageBreak/>
        <w:t>One can understand the frustrations developers feel when compelled to comply with a set of procedures that empowers citizens, adds costs and slows down the approval process. But SEQRA’s intent, that “the protection and enhancement of the environment, human and community resources should be given appropriate weight with social and economic considerations in determining public policy,” requires local and state officials (and especially the DEC) to be ever mindful of their role as stewards of the air, water, land and living resources.</w:t>
      </w:r>
    </w:p>
    <w:p w14:paraId="1719C111" w14:textId="77777777" w:rsidR="00395CE7" w:rsidRDefault="00395CE7" w:rsidP="00395CE7">
      <w:pPr>
        <w:pStyle w:val="contentsegment"/>
        <w:spacing w:before="0" w:beforeAutospacing="0" w:line="447" w:lineRule="atLeast"/>
        <w:rPr>
          <w:rFonts w:ascii="&amp;quot" w:hAnsi="&amp;quot"/>
          <w:color w:val="222222"/>
          <w:sz w:val="26"/>
          <w:szCs w:val="26"/>
        </w:rPr>
      </w:pPr>
      <w:r>
        <w:rPr>
          <w:rFonts w:ascii="&amp;quot" w:hAnsi="&amp;quot"/>
          <w:color w:val="222222"/>
          <w:sz w:val="26"/>
          <w:szCs w:val="26"/>
        </w:rPr>
        <w:t>As an apparent strategy to coax environmental advocates and organizations across the Empire State to acquiesce to the “streamlining” amendments, the DEC is utilizing a creative but questionable tactic. Ironically, despite the absence of any statutory authority to do so, the DEC is deploying many of the additions to the Type II list – the activities not subject to review under SEQRA – as a “regulatory incentive” for project sponsors to propose development on previously disturbed sites in municipal centers, and to encourage green infrastructure projects and solar energy development. In other words: Build Green/Skip SEQRA!</w:t>
      </w:r>
    </w:p>
    <w:p w14:paraId="521070E2" w14:textId="77777777" w:rsidR="00395CE7" w:rsidRDefault="00395CE7" w:rsidP="00395CE7">
      <w:pPr>
        <w:pStyle w:val="contentsegment"/>
        <w:spacing w:line="447" w:lineRule="atLeast"/>
        <w:rPr>
          <w:rFonts w:ascii="&amp;quot" w:hAnsi="&amp;quot"/>
          <w:color w:val="222222"/>
          <w:sz w:val="26"/>
          <w:szCs w:val="26"/>
        </w:rPr>
      </w:pPr>
      <w:r>
        <w:rPr>
          <w:rFonts w:ascii="&amp;quot" w:hAnsi="&amp;quot"/>
          <w:color w:val="222222"/>
          <w:sz w:val="26"/>
          <w:szCs w:val="26"/>
        </w:rPr>
        <w:t xml:space="preserve">Smart growth, sustainable development and green infrastructure may be worthwhile goals. But given the direction the Trump administration is heading environmentally, the need for a strong environmental review process in New York state is even greater today than in 1975.  </w:t>
      </w:r>
      <w:r>
        <w:rPr>
          <w:rFonts w:ascii="&amp;quot" w:hAnsi="&amp;quot"/>
          <w:b/>
          <w:bCs/>
          <w:i/>
          <w:iCs/>
          <w:color w:val="222222"/>
          <w:sz w:val="26"/>
          <w:szCs w:val="26"/>
        </w:rPr>
        <w:t xml:space="preserve">NOTE: </w:t>
      </w:r>
      <w:hyperlink r:id="rId6" w:tgtFrame="_blank" w:history="1">
        <w:r>
          <w:rPr>
            <w:rStyle w:val="Hyperlink"/>
            <w:rFonts w:ascii="&amp;quot" w:hAnsi="&amp;quot"/>
            <w:b/>
            <w:bCs/>
            <w:i/>
            <w:iCs/>
            <w:color w:val="16703C"/>
            <w:sz w:val="26"/>
            <w:szCs w:val="26"/>
          </w:rPr>
          <w:t>The DEC will accept comments on the proposed amendments until May 1</w:t>
        </w:r>
      </w:hyperlink>
      <w:r>
        <w:rPr>
          <w:rFonts w:ascii="&amp;quot" w:hAnsi="&amp;quot"/>
          <w:color w:val="222222"/>
          <w:sz w:val="26"/>
          <w:szCs w:val="26"/>
        </w:rPr>
        <w:t xml:space="preserve"> </w:t>
      </w:r>
      <w:hyperlink r:id="rId7" w:history="1">
        <w:r>
          <w:rPr>
            <w:rStyle w:val="Hyperlink"/>
            <w:rFonts w:ascii="&amp;quot" w:hAnsi="&amp;quot"/>
            <w:b/>
            <w:bCs/>
            <w:i/>
            <w:iCs/>
            <w:color w:val="16703C"/>
            <w:sz w:val="26"/>
            <w:szCs w:val="26"/>
          </w:rPr>
          <w:t>9.</w:t>
        </w:r>
      </w:hyperlink>
    </w:p>
    <w:p w14:paraId="44CA470E" w14:textId="77777777" w:rsidR="00395CE7" w:rsidRDefault="00395CE7"/>
    <w:sectPr w:rsidR="00395C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mp;quot">
    <w:altName w:val="Cambria"/>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CE7"/>
    <w:rsid w:val="00395C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03BDD"/>
  <w15:chartTrackingRefBased/>
  <w15:docId w15:val="{36EF4F04-E404-4EA8-9628-FE7E7E2DA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5CE7"/>
  </w:style>
  <w:style w:type="paragraph" w:styleId="Heading1">
    <w:name w:val="heading 1"/>
    <w:basedOn w:val="Normal"/>
    <w:next w:val="Normal"/>
    <w:link w:val="Heading1Char"/>
    <w:uiPriority w:val="9"/>
    <w:qFormat/>
    <w:rsid w:val="00395CE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5CE7"/>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395CE7"/>
    <w:rPr>
      <w:color w:val="0000FF"/>
      <w:u w:val="single"/>
    </w:rPr>
  </w:style>
  <w:style w:type="character" w:customStyle="1" w:styleId="hidden--xs">
    <w:name w:val="hidden--xs"/>
    <w:basedOn w:val="DefaultParagraphFont"/>
    <w:rsid w:val="00395CE7"/>
  </w:style>
  <w:style w:type="paragraph" w:customStyle="1" w:styleId="contentsegment">
    <w:name w:val="content__segment"/>
    <w:basedOn w:val="Normal"/>
    <w:rsid w:val="00395CE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dec.ny.gov/permits/83389.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dec.ny.gov/permits/83389.html" TargetMode="External"/><Relationship Id="rId5" Type="http://schemas.openxmlformats.org/officeDocument/2006/relationships/hyperlink" Target="https://www.bizjournals.com/buffalo/search/results?q=Andrew%20Cuomo" TargetMode="External"/><Relationship Id="rId4" Type="http://schemas.openxmlformats.org/officeDocument/2006/relationships/hyperlink" Target="https://www.bizjournals.com/buffalo/search/results?q=Donald%20Trump"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994</Words>
  <Characters>5668</Characters>
  <Application>Microsoft Office Word</Application>
  <DocSecurity>0</DocSecurity>
  <Lines>47</Lines>
  <Paragraphs>13</Paragraphs>
  <ScaleCrop>false</ScaleCrop>
  <Company/>
  <LinksUpToDate>false</LinksUpToDate>
  <CharactersWithSpaces>6649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Arthur Giacalone</dc:creator>
  <cp:keywords/>
  <dc:description/>
  <cp:lastModifiedBy>Arthur Giacalone</cp:lastModifiedBy>
  <cp:revision>1</cp:revision>
  <dcterms:created xsi:type="dcterms:W3CDTF">2021-08-11T14:07:00Z</dcterms:created>
  <dcterms:modified xsi:type="dcterms:W3CDTF">2021-08-11T14:09:00Z</dcterms:modified>
</cp:coreProperties>
</file>