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94DA80" w14:textId="77777777" w:rsidR="006370D2" w:rsidRDefault="000914B7">
      <w:r>
        <w:fldChar w:fldCharType="begin"/>
      </w:r>
      <w:r>
        <w:instrText xml:space="preserve"> HYPERLINK "</w:instrText>
      </w:r>
      <w:r w:rsidRPr="000914B7">
        <w:instrText>https://www.nps.gov/nr/feature/places/16000108.htm</w:instrText>
      </w:r>
      <w:r>
        <w:instrText xml:space="preserve">" </w:instrText>
      </w:r>
      <w:r>
        <w:fldChar w:fldCharType="separate"/>
      </w:r>
      <w:r w:rsidRPr="00FD12C7">
        <w:rPr>
          <w:rStyle w:val="Hyperlink"/>
        </w:rPr>
        <w:t>https://www.nps.gov/nr/feature/places/16000108.htm</w:t>
      </w:r>
      <w:r>
        <w:fldChar w:fldCharType="end"/>
      </w:r>
    </w:p>
    <w:p w14:paraId="318F5D55" w14:textId="77777777" w:rsidR="000914B7" w:rsidRPr="000914B7" w:rsidRDefault="000914B7" w:rsidP="000914B7">
      <w:pPr>
        <w:shd w:val="clear" w:color="auto" w:fill="FFFFFF"/>
        <w:spacing w:before="225" w:after="75" w:line="450" w:lineRule="atLeast"/>
        <w:jc w:val="center"/>
        <w:outlineLvl w:val="2"/>
        <w:rPr>
          <w:rFonts w:ascii="Georgia" w:eastAsia="Times New Roman" w:hAnsi="Georgia" w:cs="Arial"/>
          <w:color w:val="706D5F"/>
          <w:sz w:val="33"/>
          <w:szCs w:val="33"/>
          <w:lang w:val="en"/>
        </w:rPr>
      </w:pPr>
      <w:r w:rsidRPr="000914B7">
        <w:rPr>
          <w:rFonts w:ascii="Georgia" w:eastAsia="Times New Roman" w:hAnsi="Georgia" w:cs="Arial"/>
          <w:color w:val="706D5F"/>
          <w:sz w:val="33"/>
          <w:szCs w:val="33"/>
          <w:lang w:val="en"/>
        </w:rPr>
        <w:t xml:space="preserve">National Register of Historic Places Program </w:t>
      </w:r>
    </w:p>
    <w:p w14:paraId="63FC50E1" w14:textId="77777777" w:rsidR="000914B7" w:rsidRPr="000914B7" w:rsidRDefault="000914B7" w:rsidP="000914B7">
      <w:pPr>
        <w:shd w:val="clear" w:color="auto" w:fill="FFFFFF"/>
        <w:spacing w:after="225" w:line="270" w:lineRule="atLeast"/>
        <w:jc w:val="center"/>
        <w:rPr>
          <w:rFonts w:ascii="Arial" w:eastAsia="Times New Roman" w:hAnsi="Arial" w:cs="Arial"/>
          <w:color w:val="333333"/>
          <w:sz w:val="21"/>
          <w:szCs w:val="21"/>
          <w:lang w:val="en"/>
        </w:rPr>
      </w:pPr>
      <w:r w:rsidRPr="000914B7">
        <w:rPr>
          <w:rFonts w:ascii="Arial" w:eastAsia="Times New Roman" w:hAnsi="Arial" w:cs="Arial"/>
          <w:i/>
          <w:iCs/>
          <w:color w:val="333333"/>
          <w:sz w:val="21"/>
          <w:szCs w:val="21"/>
          <w:lang w:val="en"/>
        </w:rPr>
        <w:t>The National Register of Historic Places is the official list of the Nation's historic places worthy of preservation. Authorized by the National Historic Preservation Act of 1966, the National Park Service's National Register of Historic Places is part of a national program to coordinate and support public and private efforts to identify, evaluate, and protect America's historic and archeological resources.</w:t>
      </w:r>
    </w:p>
    <w:p w14:paraId="61B7C11F" w14:textId="77777777" w:rsidR="000914B7" w:rsidRPr="000914B7" w:rsidRDefault="000914B7" w:rsidP="000914B7">
      <w:pPr>
        <w:shd w:val="clear" w:color="auto" w:fill="FFFFFF"/>
        <w:spacing w:before="150" w:line="360" w:lineRule="atLeast"/>
        <w:outlineLvl w:val="3"/>
        <w:rPr>
          <w:rFonts w:ascii="Georgia" w:eastAsia="Times New Roman" w:hAnsi="Georgia" w:cs="Arial"/>
          <w:color w:val="706D5F"/>
          <w:sz w:val="27"/>
          <w:szCs w:val="27"/>
          <w:lang w:val="en"/>
        </w:rPr>
      </w:pPr>
      <w:r w:rsidRPr="000914B7">
        <w:rPr>
          <w:rFonts w:ascii="Georgia" w:eastAsia="Times New Roman" w:hAnsi="Georgia" w:cs="Arial"/>
          <w:color w:val="706D5F"/>
          <w:sz w:val="27"/>
          <w:szCs w:val="27"/>
          <w:lang w:val="en"/>
        </w:rPr>
        <w:t> </w:t>
      </w:r>
    </w:p>
    <w:tbl>
      <w:tblPr>
        <w:tblW w:w="4000" w:type="pct"/>
        <w:shd w:val="clear" w:color="auto" w:fill="ECF9FF"/>
        <w:tblCellMar>
          <w:top w:w="15" w:type="dxa"/>
          <w:left w:w="15" w:type="dxa"/>
          <w:bottom w:w="15" w:type="dxa"/>
          <w:right w:w="15" w:type="dxa"/>
        </w:tblCellMar>
        <w:tblLook w:val="04A0" w:firstRow="1" w:lastRow="0" w:firstColumn="1" w:lastColumn="0" w:noHBand="0" w:noVBand="1"/>
      </w:tblPr>
      <w:tblGrid>
        <w:gridCol w:w="2510"/>
        <w:gridCol w:w="4978"/>
      </w:tblGrid>
      <w:tr w:rsidR="000914B7" w:rsidRPr="000914B7" w14:paraId="3E7AE8DB" w14:textId="77777777" w:rsidTr="000914B7">
        <w:tc>
          <w:tcPr>
            <w:tcW w:w="2050" w:type="pct"/>
            <w:shd w:val="clear" w:color="auto" w:fill="CFE3FA"/>
            <w:vAlign w:val="center"/>
            <w:hideMark/>
          </w:tcPr>
          <w:p w14:paraId="6178A5FD"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b/>
                <w:bCs/>
                <w:sz w:val="20"/>
                <w:szCs w:val="20"/>
              </w:rPr>
              <w:t>Property Name</w:t>
            </w:r>
          </w:p>
        </w:tc>
        <w:tc>
          <w:tcPr>
            <w:tcW w:w="2950" w:type="pct"/>
            <w:shd w:val="clear" w:color="auto" w:fill="CFE3FA"/>
            <w:vAlign w:val="center"/>
            <w:hideMark/>
          </w:tcPr>
          <w:p w14:paraId="6C84D20B"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b/>
                <w:bCs/>
                <w:sz w:val="20"/>
                <w:szCs w:val="20"/>
              </w:rPr>
              <w:t>Elmwood Historic District (East)</w:t>
            </w:r>
          </w:p>
        </w:tc>
      </w:tr>
      <w:tr w:rsidR="000914B7" w:rsidRPr="000914B7" w14:paraId="23547A9E" w14:textId="77777777" w:rsidTr="000914B7">
        <w:tc>
          <w:tcPr>
            <w:tcW w:w="0" w:type="auto"/>
            <w:shd w:val="clear" w:color="auto" w:fill="ECF9FF"/>
            <w:vAlign w:val="center"/>
            <w:hideMark/>
          </w:tcPr>
          <w:p w14:paraId="0C43F2F4"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Reference Number</w:t>
            </w:r>
          </w:p>
        </w:tc>
        <w:tc>
          <w:tcPr>
            <w:tcW w:w="0" w:type="auto"/>
            <w:shd w:val="clear" w:color="auto" w:fill="ECF9FF"/>
            <w:vAlign w:val="center"/>
            <w:hideMark/>
          </w:tcPr>
          <w:p w14:paraId="25CC2281"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16000108</w:t>
            </w:r>
          </w:p>
        </w:tc>
      </w:tr>
      <w:tr w:rsidR="000914B7" w:rsidRPr="000914B7" w14:paraId="41F1A112" w14:textId="77777777" w:rsidTr="000914B7">
        <w:tc>
          <w:tcPr>
            <w:tcW w:w="0" w:type="auto"/>
            <w:shd w:val="clear" w:color="auto" w:fill="ECF9FF"/>
            <w:vAlign w:val="center"/>
            <w:hideMark/>
          </w:tcPr>
          <w:p w14:paraId="7AF0CB5F"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State</w:t>
            </w:r>
          </w:p>
        </w:tc>
        <w:tc>
          <w:tcPr>
            <w:tcW w:w="0" w:type="auto"/>
            <w:shd w:val="clear" w:color="auto" w:fill="ECF9FF"/>
            <w:vAlign w:val="center"/>
            <w:hideMark/>
          </w:tcPr>
          <w:p w14:paraId="02B702C3"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New York</w:t>
            </w:r>
          </w:p>
        </w:tc>
      </w:tr>
      <w:tr w:rsidR="000914B7" w:rsidRPr="000914B7" w14:paraId="672C4D6F" w14:textId="77777777" w:rsidTr="000914B7">
        <w:tc>
          <w:tcPr>
            <w:tcW w:w="0" w:type="auto"/>
            <w:shd w:val="clear" w:color="auto" w:fill="ECF9FF"/>
            <w:vAlign w:val="center"/>
            <w:hideMark/>
          </w:tcPr>
          <w:p w14:paraId="6DBD0C26"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County</w:t>
            </w:r>
          </w:p>
        </w:tc>
        <w:tc>
          <w:tcPr>
            <w:tcW w:w="0" w:type="auto"/>
            <w:shd w:val="clear" w:color="auto" w:fill="ECF9FF"/>
            <w:vAlign w:val="center"/>
            <w:hideMark/>
          </w:tcPr>
          <w:p w14:paraId="08881222"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Erie</w:t>
            </w:r>
          </w:p>
        </w:tc>
      </w:tr>
      <w:tr w:rsidR="000914B7" w:rsidRPr="000914B7" w14:paraId="39717208" w14:textId="77777777" w:rsidTr="000914B7">
        <w:tc>
          <w:tcPr>
            <w:tcW w:w="0" w:type="auto"/>
            <w:shd w:val="clear" w:color="auto" w:fill="ECF9FF"/>
            <w:vAlign w:val="center"/>
            <w:hideMark/>
          </w:tcPr>
          <w:p w14:paraId="29A3862C"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Town</w:t>
            </w:r>
          </w:p>
        </w:tc>
        <w:tc>
          <w:tcPr>
            <w:tcW w:w="0" w:type="auto"/>
            <w:shd w:val="clear" w:color="auto" w:fill="ECF9FF"/>
            <w:vAlign w:val="center"/>
            <w:hideMark/>
          </w:tcPr>
          <w:p w14:paraId="015F2094"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Buffalo</w:t>
            </w:r>
          </w:p>
        </w:tc>
      </w:tr>
      <w:tr w:rsidR="000914B7" w:rsidRPr="000914B7" w14:paraId="74AB64DC" w14:textId="77777777" w:rsidTr="000914B7">
        <w:tc>
          <w:tcPr>
            <w:tcW w:w="0" w:type="auto"/>
            <w:shd w:val="clear" w:color="auto" w:fill="ECF9FF"/>
            <w:vAlign w:val="center"/>
            <w:hideMark/>
          </w:tcPr>
          <w:p w14:paraId="50307373"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Street Address</w:t>
            </w:r>
          </w:p>
        </w:tc>
        <w:tc>
          <w:tcPr>
            <w:tcW w:w="0" w:type="auto"/>
            <w:shd w:val="clear" w:color="auto" w:fill="ECF9FF"/>
            <w:vAlign w:val="center"/>
            <w:hideMark/>
          </w:tcPr>
          <w:p w14:paraId="6DC9E036"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 xml:space="preserve">PORTIONS OF Anderson PI, Argyle Pk. Atlantic Pl. Auburn Ave, Berkley PI, Bidwell Pkwy. Bird Ave, Brantford PI, Bryant St. Chapin Pkwy. Clarendon PI, </w:t>
            </w:r>
            <w:proofErr w:type="spellStart"/>
            <w:r w:rsidRPr="000914B7">
              <w:rPr>
                <w:rFonts w:ascii="Arial" w:eastAsia="Times New Roman" w:hAnsi="Arial" w:cs="Arial"/>
                <w:sz w:val="20"/>
                <w:szCs w:val="20"/>
              </w:rPr>
              <w:t>Cleveburn</w:t>
            </w:r>
            <w:proofErr w:type="spellEnd"/>
            <w:r w:rsidRPr="000914B7">
              <w:rPr>
                <w:rFonts w:ascii="Arial" w:eastAsia="Times New Roman" w:hAnsi="Arial" w:cs="Arial"/>
                <w:sz w:val="20"/>
                <w:szCs w:val="20"/>
              </w:rPr>
              <w:t xml:space="preserve"> Pl. Cleveland Ave, Delaware Ave, Elmwood Ave, Forest Ave, Gates Circle, Granger PI, Highland Ave, Hodge Ave, Inwood PI, Lafayette Ave, Lancaster Ave, Lexington Ave, Lincoln Pkwy, Lincoln Woods Ln, Melbourne PI, Oakland PI, </w:t>
            </w:r>
            <w:proofErr w:type="spellStart"/>
            <w:r w:rsidRPr="000914B7">
              <w:rPr>
                <w:rFonts w:ascii="Arial" w:eastAsia="Times New Roman" w:hAnsi="Arial" w:cs="Arial"/>
                <w:sz w:val="20"/>
                <w:szCs w:val="20"/>
              </w:rPr>
              <w:t>Penhurst</w:t>
            </w:r>
            <w:proofErr w:type="spellEnd"/>
            <w:r w:rsidRPr="000914B7">
              <w:rPr>
                <w:rFonts w:ascii="Arial" w:eastAsia="Times New Roman" w:hAnsi="Arial" w:cs="Arial"/>
                <w:sz w:val="20"/>
                <w:szCs w:val="20"/>
              </w:rPr>
              <w:t xml:space="preserve"> </w:t>
            </w:r>
            <w:proofErr w:type="spellStart"/>
            <w:r w:rsidRPr="000914B7">
              <w:rPr>
                <w:rFonts w:ascii="Arial" w:eastAsia="Times New Roman" w:hAnsi="Arial" w:cs="Arial"/>
                <w:sz w:val="20"/>
                <w:szCs w:val="20"/>
              </w:rPr>
              <w:t>Pk</w:t>
            </w:r>
            <w:proofErr w:type="spellEnd"/>
            <w:r w:rsidRPr="000914B7">
              <w:rPr>
                <w:rFonts w:ascii="Arial" w:eastAsia="Times New Roman" w:hAnsi="Arial" w:cs="Arial"/>
                <w:sz w:val="20"/>
                <w:szCs w:val="20"/>
              </w:rPr>
              <w:t xml:space="preserve">, Potomac Ave, Rumsey Ln. Rumsey Rd. St. Andrew's Walk, St. Catherine's Ct, St. George's Sq. St. James PI, </w:t>
            </w:r>
            <w:proofErr w:type="spellStart"/>
            <w:r w:rsidRPr="000914B7">
              <w:rPr>
                <w:rFonts w:ascii="Arial" w:eastAsia="Times New Roman" w:hAnsi="Arial" w:cs="Arial"/>
                <w:sz w:val="20"/>
                <w:szCs w:val="20"/>
              </w:rPr>
              <w:t>Saybrook</w:t>
            </w:r>
            <w:proofErr w:type="spellEnd"/>
            <w:r w:rsidRPr="000914B7">
              <w:rPr>
                <w:rFonts w:ascii="Arial" w:eastAsia="Times New Roman" w:hAnsi="Arial" w:cs="Arial"/>
                <w:sz w:val="20"/>
                <w:szCs w:val="20"/>
              </w:rPr>
              <w:t xml:space="preserve"> PI, Soldiers Place. Summer St. Tudor PI, West Delavan Ave, West Ferry St, West Utica St. Windsor Ave </w:t>
            </w:r>
          </w:p>
        </w:tc>
      </w:tr>
      <w:tr w:rsidR="000914B7" w:rsidRPr="000914B7" w14:paraId="475D1321" w14:textId="77777777" w:rsidTr="000914B7">
        <w:tc>
          <w:tcPr>
            <w:tcW w:w="0" w:type="auto"/>
            <w:shd w:val="clear" w:color="auto" w:fill="ECF9FF"/>
            <w:vAlign w:val="center"/>
            <w:hideMark/>
          </w:tcPr>
          <w:p w14:paraId="6E4945D4"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Multiple Property Submission Name</w:t>
            </w:r>
          </w:p>
        </w:tc>
        <w:tc>
          <w:tcPr>
            <w:tcW w:w="0" w:type="auto"/>
            <w:shd w:val="clear" w:color="auto" w:fill="ECF9FF"/>
            <w:vAlign w:val="center"/>
            <w:hideMark/>
          </w:tcPr>
          <w:p w14:paraId="0C08C43D"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N/A</w:t>
            </w:r>
          </w:p>
        </w:tc>
      </w:tr>
      <w:tr w:rsidR="000914B7" w:rsidRPr="000914B7" w14:paraId="713E220F" w14:textId="77777777" w:rsidTr="000914B7">
        <w:tc>
          <w:tcPr>
            <w:tcW w:w="0" w:type="auto"/>
            <w:shd w:val="clear" w:color="auto" w:fill="ECF9FF"/>
            <w:vAlign w:val="center"/>
            <w:hideMark/>
          </w:tcPr>
          <w:p w14:paraId="58B3B0F4"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Status</w:t>
            </w:r>
          </w:p>
        </w:tc>
        <w:tc>
          <w:tcPr>
            <w:tcW w:w="0" w:type="auto"/>
            <w:shd w:val="clear" w:color="auto" w:fill="ECF9FF"/>
            <w:vAlign w:val="center"/>
            <w:hideMark/>
          </w:tcPr>
          <w:p w14:paraId="009863ED"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Listed 3/22/2016</w:t>
            </w:r>
          </w:p>
        </w:tc>
      </w:tr>
      <w:tr w:rsidR="000914B7" w:rsidRPr="000914B7" w14:paraId="42E536A4" w14:textId="77777777" w:rsidTr="000914B7">
        <w:tc>
          <w:tcPr>
            <w:tcW w:w="0" w:type="auto"/>
            <w:shd w:val="clear" w:color="auto" w:fill="ECF9FF"/>
            <w:vAlign w:val="center"/>
            <w:hideMark/>
          </w:tcPr>
          <w:p w14:paraId="77AD84AB"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Areas of Significance</w:t>
            </w:r>
          </w:p>
        </w:tc>
        <w:tc>
          <w:tcPr>
            <w:tcW w:w="0" w:type="auto"/>
            <w:shd w:val="clear" w:color="auto" w:fill="ECF9FF"/>
            <w:vAlign w:val="center"/>
            <w:hideMark/>
          </w:tcPr>
          <w:p w14:paraId="56C79D2A"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Architecture, Landscape Architecture, Community Planning and Development</w:t>
            </w:r>
          </w:p>
        </w:tc>
      </w:tr>
      <w:tr w:rsidR="000914B7" w:rsidRPr="000914B7" w14:paraId="53416147" w14:textId="77777777" w:rsidTr="000914B7">
        <w:tc>
          <w:tcPr>
            <w:tcW w:w="0" w:type="auto"/>
            <w:shd w:val="clear" w:color="auto" w:fill="ECF9FF"/>
            <w:vAlign w:val="center"/>
            <w:hideMark/>
          </w:tcPr>
          <w:p w14:paraId="6E6DF802" w14:textId="77777777" w:rsidR="000914B7" w:rsidRPr="000914B7" w:rsidRDefault="000914B7" w:rsidP="000914B7">
            <w:pPr>
              <w:spacing w:after="0" w:line="240" w:lineRule="atLeast"/>
              <w:rPr>
                <w:rFonts w:ascii="Arial" w:eastAsia="Times New Roman" w:hAnsi="Arial" w:cs="Arial"/>
                <w:sz w:val="20"/>
                <w:szCs w:val="20"/>
              </w:rPr>
            </w:pPr>
            <w:r w:rsidRPr="000914B7">
              <w:rPr>
                <w:rFonts w:ascii="Arial" w:eastAsia="Times New Roman" w:hAnsi="Arial" w:cs="Arial"/>
                <w:sz w:val="20"/>
                <w:szCs w:val="20"/>
              </w:rPr>
              <w:t>Link to full file</w:t>
            </w:r>
          </w:p>
        </w:tc>
        <w:tc>
          <w:tcPr>
            <w:tcW w:w="0" w:type="auto"/>
            <w:shd w:val="clear" w:color="auto" w:fill="ECF9FF"/>
            <w:vAlign w:val="center"/>
            <w:hideMark/>
          </w:tcPr>
          <w:p w14:paraId="0BD05B0B" w14:textId="77777777" w:rsidR="000914B7" w:rsidRPr="000914B7" w:rsidRDefault="003822E3" w:rsidP="000914B7">
            <w:pPr>
              <w:spacing w:after="0" w:line="240" w:lineRule="atLeast"/>
              <w:rPr>
                <w:rFonts w:ascii="Arial" w:eastAsia="Times New Roman" w:hAnsi="Arial" w:cs="Arial"/>
                <w:sz w:val="20"/>
                <w:szCs w:val="20"/>
              </w:rPr>
            </w:pPr>
            <w:hyperlink r:id="rId4" w:tgtFrame="_blank" w:history="1">
              <w:r w:rsidR="000914B7" w:rsidRPr="000914B7">
                <w:rPr>
                  <w:rFonts w:ascii="Arial" w:eastAsia="Times New Roman" w:hAnsi="Arial" w:cs="Arial"/>
                  <w:color w:val="B28000"/>
                  <w:sz w:val="20"/>
                  <w:szCs w:val="20"/>
                </w:rPr>
                <w:t>http://www.nps.gov/nr/feature/places/pdfs/16000108.pdf</w:t>
              </w:r>
            </w:hyperlink>
            <w:r w:rsidR="000914B7" w:rsidRPr="000914B7">
              <w:rPr>
                <w:rFonts w:ascii="Arial" w:eastAsia="Times New Roman" w:hAnsi="Arial" w:cs="Arial"/>
                <w:sz w:val="20"/>
                <w:szCs w:val="20"/>
              </w:rPr>
              <w:t xml:space="preserve"> </w:t>
            </w:r>
          </w:p>
        </w:tc>
      </w:tr>
    </w:tbl>
    <w:p w14:paraId="0E3DC80C" w14:textId="77777777" w:rsidR="000914B7" w:rsidRPr="000914B7" w:rsidRDefault="000914B7" w:rsidP="000914B7">
      <w:pPr>
        <w:shd w:val="clear" w:color="auto" w:fill="FFFFFF"/>
        <w:spacing w:line="270" w:lineRule="atLeast"/>
        <w:rPr>
          <w:rFonts w:ascii="Arial" w:eastAsia="Times New Roman" w:hAnsi="Arial" w:cs="Arial"/>
          <w:vanish/>
          <w:color w:val="333333"/>
          <w:sz w:val="21"/>
          <w:szCs w:val="21"/>
          <w:lang w:val="en"/>
        </w:rPr>
      </w:pPr>
    </w:p>
    <w:tbl>
      <w:tblPr>
        <w:tblW w:w="4000" w:type="pct"/>
        <w:tblCellMar>
          <w:top w:w="15" w:type="dxa"/>
          <w:left w:w="15" w:type="dxa"/>
          <w:bottom w:w="15" w:type="dxa"/>
          <w:right w:w="15" w:type="dxa"/>
        </w:tblCellMar>
        <w:tblLook w:val="04A0" w:firstRow="1" w:lastRow="0" w:firstColumn="1" w:lastColumn="0" w:noHBand="0" w:noVBand="1"/>
      </w:tblPr>
      <w:tblGrid>
        <w:gridCol w:w="7530"/>
      </w:tblGrid>
      <w:tr w:rsidR="000914B7" w:rsidRPr="000914B7" w14:paraId="1B2FBA80" w14:textId="77777777" w:rsidTr="000914B7">
        <w:tc>
          <w:tcPr>
            <w:tcW w:w="0" w:type="auto"/>
            <w:vAlign w:val="center"/>
            <w:hideMark/>
          </w:tcPr>
          <w:p w14:paraId="7330335F" w14:textId="77777777" w:rsidR="000914B7" w:rsidRPr="000914B7" w:rsidRDefault="000914B7" w:rsidP="000914B7">
            <w:pPr>
              <w:spacing w:after="0" w:line="240" w:lineRule="atLeast"/>
              <w:rPr>
                <w:rFonts w:ascii="Arial" w:eastAsia="Times New Roman" w:hAnsi="Arial" w:cs="Arial"/>
                <w:sz w:val="20"/>
                <w:szCs w:val="20"/>
              </w:rPr>
            </w:pPr>
            <w:bookmarkStart w:id="0" w:name="_GoBack"/>
            <w:r w:rsidRPr="000914B7">
              <w:rPr>
                <w:rFonts w:ascii="Arial" w:eastAsia="Times New Roman" w:hAnsi="Arial" w:cs="Arial"/>
                <w:noProof/>
                <w:sz w:val="20"/>
                <w:szCs w:val="20"/>
              </w:rPr>
              <w:lastRenderedPageBreak/>
              <w:drawing>
                <wp:inline distT="0" distB="0" distL="0" distR="0" wp14:anchorId="508E63EE" wp14:editId="019C821F">
                  <wp:extent cx="4762500" cy="3171825"/>
                  <wp:effectExtent l="0" t="0" r="0" b="9525"/>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0" cy="3171825"/>
                          </a:xfrm>
                          <a:prstGeom prst="rect">
                            <a:avLst/>
                          </a:prstGeom>
                          <a:noFill/>
                          <a:ln>
                            <a:noFill/>
                          </a:ln>
                        </pic:spPr>
                      </pic:pic>
                    </a:graphicData>
                  </a:graphic>
                </wp:inline>
              </w:drawing>
            </w:r>
            <w:bookmarkEnd w:id="0"/>
          </w:p>
        </w:tc>
      </w:tr>
      <w:tr w:rsidR="000914B7" w:rsidRPr="000914B7" w14:paraId="7D2D7D3B" w14:textId="77777777" w:rsidTr="000914B7">
        <w:tc>
          <w:tcPr>
            <w:tcW w:w="0" w:type="auto"/>
            <w:vAlign w:val="center"/>
            <w:hideMark/>
          </w:tcPr>
          <w:p w14:paraId="0E877202" w14:textId="15688853" w:rsidR="000914B7" w:rsidRPr="000914B7" w:rsidRDefault="000914B7" w:rsidP="009519A1">
            <w:pPr>
              <w:spacing w:after="0" w:line="240" w:lineRule="atLeast"/>
              <w:rPr>
                <w:rFonts w:ascii="Arial" w:eastAsia="Times New Roman" w:hAnsi="Arial" w:cs="Arial"/>
                <w:sz w:val="20"/>
                <w:szCs w:val="20"/>
              </w:rPr>
            </w:pPr>
            <w:r w:rsidRPr="000914B7">
              <w:rPr>
                <w:rFonts w:ascii="Arial" w:eastAsia="Times New Roman" w:hAnsi="Arial" w:cs="Arial"/>
                <w:sz w:val="20"/>
                <w:szCs w:val="20"/>
              </w:rPr>
              <w:t xml:space="preserve">The Elmwood Historic District is significant under Criterion A in the area of Community Planning and Development and C in the area of Architecture as an exceptional, highly intact residential neighborhood located in the City of Buffalo. Much of the district's architecture and planning represents the first era of street-car suburbanization in Buffalo, which occurred during the golden age of industrial, economic and population growth following the Civil War. The district contains nearly 5,000 resources. For the purposes of managing the National Register listing process, the district has been divided along the commercial spine of Elmwood Avenue into the Elmwood Historic District (West) and the Elmwood Historic District (East). This nomination documents the Elmwood Historic District (East) portion of the district on the National Register, while providing a historic context for both. The Elmwood Historic District (West) was listed on the NY State and National Registers in 2012. The nominated district contains more than 1,800 properties and nearly 3,500 resources in total, reflective of the city at the height of its prominence as the eighth most populous city in America. The district evolved over time, transforming from a forested, pastoral area filled with nurseries and farmhouses into a wealthy residential area populated with large estates in the nineteenth century, and from a bustling streetcar suburb into a modern community that experienced several stages of automobile-oriented design in the twentieth century. Due to the presence of large estates, which occupied especially large plots of land at the turn of the twentieth century, much of the streetcar suburb style of development east of Elmwood Avenue occurred a few decades later than in the Elmwood Historic District (West). The portions of the district that formerly held these estates prevented new development until a later date than occurred west of Elmwood Avenue, creating a patchwork pattern that gradually filled in new buildings as the estates were later subdivided beginning in the 1920s. The period of significance for the Elmwood Historic District (East) thus features a later end date than that established for the Elmwood Historic District (West). Beginning in 1867 with the development of Frederick Law Olmsted's park and parkways system, which first gave shape to the district as an attractive community for development, the period of significance ends in 1965 with the construction of the Scajaquada Expressway, marking the district's complete transition into the age of the automobile. </w:t>
            </w:r>
          </w:p>
        </w:tc>
      </w:tr>
    </w:tbl>
    <w:p w14:paraId="552A3DB6" w14:textId="77777777" w:rsidR="000914B7" w:rsidRDefault="000914B7"/>
    <w:sectPr w:rsidR="000914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14B7"/>
    <w:rsid w:val="000914B7"/>
    <w:rsid w:val="003822E3"/>
    <w:rsid w:val="006370D2"/>
    <w:rsid w:val="009519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3D962"/>
  <w15:chartTrackingRefBased/>
  <w15:docId w15:val="{1C959304-36A6-45DA-8CAC-AA0E21450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914B7"/>
    <w:rPr>
      <w:color w:val="0563C1" w:themeColor="hyperlink"/>
      <w:u w:val="single"/>
    </w:rPr>
  </w:style>
  <w:style w:type="character" w:styleId="Emphasis">
    <w:name w:val="Emphasis"/>
    <w:basedOn w:val="DefaultParagraphFont"/>
    <w:uiPriority w:val="20"/>
    <w:qFormat/>
    <w:rsid w:val="000914B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9753638">
      <w:bodyDiv w:val="1"/>
      <w:marLeft w:val="0"/>
      <w:marRight w:val="0"/>
      <w:marTop w:val="0"/>
      <w:marBottom w:val="0"/>
      <w:divBdr>
        <w:top w:val="none" w:sz="0" w:space="0" w:color="auto"/>
        <w:left w:val="none" w:sz="0" w:space="0" w:color="auto"/>
        <w:bottom w:val="none" w:sz="0" w:space="0" w:color="auto"/>
        <w:right w:val="none" w:sz="0" w:space="0" w:color="auto"/>
      </w:divBdr>
      <w:divsChild>
        <w:div w:id="344283534">
          <w:marLeft w:val="0"/>
          <w:marRight w:val="0"/>
          <w:marTop w:val="100"/>
          <w:marBottom w:val="100"/>
          <w:divBdr>
            <w:top w:val="none" w:sz="0" w:space="0" w:color="auto"/>
            <w:left w:val="none" w:sz="0" w:space="0" w:color="auto"/>
            <w:bottom w:val="none" w:sz="0" w:space="0" w:color="auto"/>
            <w:right w:val="none" w:sz="0" w:space="0" w:color="auto"/>
          </w:divBdr>
          <w:divsChild>
            <w:div w:id="153568945">
              <w:marLeft w:val="195"/>
              <w:marRight w:val="195"/>
              <w:marTop w:val="0"/>
              <w:marBottom w:val="0"/>
              <w:divBdr>
                <w:top w:val="none" w:sz="0" w:space="0" w:color="auto"/>
                <w:left w:val="none" w:sz="0" w:space="0" w:color="auto"/>
                <w:bottom w:val="none" w:sz="0" w:space="0" w:color="auto"/>
                <w:right w:val="none" w:sz="0" w:space="0" w:color="auto"/>
              </w:divBdr>
              <w:divsChild>
                <w:div w:id="797337714">
                  <w:marLeft w:val="0"/>
                  <w:marRight w:val="0"/>
                  <w:marTop w:val="0"/>
                  <w:marBottom w:val="0"/>
                  <w:divBdr>
                    <w:top w:val="none" w:sz="0" w:space="0" w:color="auto"/>
                    <w:left w:val="none" w:sz="0" w:space="0" w:color="auto"/>
                    <w:bottom w:val="none" w:sz="0" w:space="0" w:color="auto"/>
                    <w:right w:val="none" w:sz="0" w:space="0" w:color="auto"/>
                  </w:divBdr>
                  <w:divsChild>
                    <w:div w:id="1247112134">
                      <w:marLeft w:val="0"/>
                      <w:marRight w:val="0"/>
                      <w:marTop w:val="0"/>
                      <w:marBottom w:val="0"/>
                      <w:divBdr>
                        <w:top w:val="none" w:sz="0" w:space="0" w:color="auto"/>
                        <w:left w:val="none" w:sz="0" w:space="0" w:color="auto"/>
                        <w:bottom w:val="none" w:sz="0" w:space="0" w:color="auto"/>
                        <w:right w:val="none" w:sz="0" w:space="0" w:color="auto"/>
                      </w:divBdr>
                      <w:divsChild>
                        <w:div w:id="1366178405">
                          <w:marLeft w:val="0"/>
                          <w:marRight w:val="0"/>
                          <w:marTop w:val="0"/>
                          <w:marBottom w:val="225"/>
                          <w:divBdr>
                            <w:top w:val="none" w:sz="0" w:space="0" w:color="auto"/>
                            <w:left w:val="none" w:sz="0" w:space="0" w:color="auto"/>
                            <w:bottom w:val="none" w:sz="0" w:space="0" w:color="auto"/>
                            <w:right w:val="none" w:sz="0" w:space="0" w:color="auto"/>
                          </w:divBdr>
                          <w:divsChild>
                            <w:div w:id="1556815943">
                              <w:marLeft w:val="0"/>
                              <w:marRight w:val="0"/>
                              <w:marTop w:val="0"/>
                              <w:marBottom w:val="0"/>
                              <w:divBdr>
                                <w:top w:val="none" w:sz="0" w:space="0" w:color="auto"/>
                                <w:left w:val="none" w:sz="0" w:space="0" w:color="auto"/>
                                <w:bottom w:val="none" w:sz="0" w:space="0" w:color="auto"/>
                                <w:right w:val="none" w:sz="0" w:space="0" w:color="auto"/>
                              </w:divBdr>
                              <w:divsChild>
                                <w:div w:id="926614027">
                                  <w:marLeft w:val="0"/>
                                  <w:marRight w:val="0"/>
                                  <w:marTop w:val="0"/>
                                  <w:marBottom w:val="0"/>
                                  <w:divBdr>
                                    <w:top w:val="none" w:sz="0" w:space="0" w:color="auto"/>
                                    <w:left w:val="none" w:sz="0" w:space="0" w:color="auto"/>
                                    <w:bottom w:val="none" w:sz="0" w:space="0" w:color="auto"/>
                                    <w:right w:val="none" w:sz="0" w:space="0" w:color="auto"/>
                                  </w:divBdr>
                                  <w:divsChild>
                                    <w:div w:id="1939286817">
                                      <w:marLeft w:val="0"/>
                                      <w:marRight w:val="0"/>
                                      <w:marTop w:val="0"/>
                                      <w:marBottom w:val="0"/>
                                      <w:divBdr>
                                        <w:top w:val="none" w:sz="0" w:space="0" w:color="auto"/>
                                        <w:left w:val="none" w:sz="0" w:space="0" w:color="auto"/>
                                        <w:bottom w:val="none" w:sz="0" w:space="0" w:color="auto"/>
                                        <w:right w:val="none" w:sz="0" w:space="0" w:color="auto"/>
                                      </w:divBdr>
                                      <w:divsChild>
                                        <w:div w:id="1318537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nps.gov/nr/feature/places/pdfs/1600010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631</Words>
  <Characters>3599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Giacalone</dc:creator>
  <cp:keywords/>
  <dc:description/>
  <cp:lastModifiedBy>Arthur Giacalone</cp:lastModifiedBy>
  <cp:revision>2</cp:revision>
  <dcterms:created xsi:type="dcterms:W3CDTF">2016-10-05T20:11:00Z</dcterms:created>
  <dcterms:modified xsi:type="dcterms:W3CDTF">2019-03-13T03:03:00Z</dcterms:modified>
</cp:coreProperties>
</file>